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CD6" w:rsidRDefault="005937F0" w:rsidP="00703CD6">
      <w:pPr>
        <w:spacing w:after="227" w:line="216" w:lineRule="auto"/>
        <w:ind w:left="4884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-3048</wp:posOffset>
            </wp:positionH>
            <wp:positionV relativeFrom="paragraph">
              <wp:posOffset>-74056</wp:posOffset>
            </wp:positionV>
            <wp:extent cx="1683155" cy="679909"/>
            <wp:effectExtent l="0" t="0" r="0" b="0"/>
            <wp:wrapSquare wrapText="bothSides"/>
            <wp:docPr id="4907" name="Picture 49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7" name="Picture 490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3155" cy="679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3CD6">
        <w:rPr>
          <w:sz w:val="28"/>
        </w:rPr>
        <w:t xml:space="preserve">                               </w:t>
      </w:r>
      <w:r>
        <w:rPr>
          <w:sz w:val="28"/>
        </w:rPr>
        <w:t>Plus qu'une garderie :</w:t>
      </w:r>
    </w:p>
    <w:p w:rsidR="00372B99" w:rsidRPr="00703CD6" w:rsidRDefault="00703CD6" w:rsidP="00703CD6">
      <w:pPr>
        <w:spacing w:after="227" w:line="216" w:lineRule="auto"/>
        <w:rPr>
          <w:sz w:val="28"/>
        </w:rPr>
      </w:pPr>
      <w:r>
        <w:rPr>
          <w:sz w:val="28"/>
        </w:rPr>
        <w:t xml:space="preserve">                    </w:t>
      </w:r>
      <w:r w:rsidR="005937F0">
        <w:rPr>
          <w:sz w:val="28"/>
        </w:rPr>
        <w:t xml:space="preserve"> </w:t>
      </w:r>
      <w:proofErr w:type="gramStart"/>
      <w:r w:rsidR="00082B45">
        <w:rPr>
          <w:sz w:val="28"/>
        </w:rPr>
        <w:t>un</w:t>
      </w:r>
      <w:proofErr w:type="gramEnd"/>
      <w:r w:rsidR="00082B45">
        <w:rPr>
          <w:sz w:val="28"/>
        </w:rPr>
        <w:t xml:space="preserve"> village où il </w:t>
      </w:r>
      <w:r w:rsidR="00A211D2">
        <w:rPr>
          <w:sz w:val="28"/>
        </w:rPr>
        <w:t>fait bon apprendre en s'amusant !</w:t>
      </w:r>
    </w:p>
    <w:p w:rsidR="00372B99" w:rsidRDefault="005937F0" w:rsidP="00B10269">
      <w:pPr>
        <w:spacing w:after="0"/>
        <w:ind w:right="38"/>
        <w:jc w:val="right"/>
      </w:pPr>
      <w:r>
        <w:rPr>
          <w:sz w:val="20"/>
        </w:rPr>
        <w:t xml:space="preserve">280, promenade </w:t>
      </w:r>
      <w:proofErr w:type="spellStart"/>
      <w:r>
        <w:rPr>
          <w:sz w:val="20"/>
        </w:rPr>
        <w:t>Glenridge</w:t>
      </w:r>
      <w:proofErr w:type="spellEnd"/>
      <w:r>
        <w:rPr>
          <w:sz w:val="20"/>
        </w:rPr>
        <w:t xml:space="preserve"> • Waterloo (Ontario)</w:t>
      </w:r>
      <w:r w:rsidR="00703CD6">
        <w:rPr>
          <w:sz w:val="20"/>
        </w:rPr>
        <w:t xml:space="preserve"> • N2J 3W4 • Tél. : 519-885-4693</w:t>
      </w:r>
      <w:r>
        <w:tab/>
        <w:t>directrice@ceve.ca</w:t>
      </w:r>
      <w:r w:rsidR="00B10269">
        <w:rPr>
          <w:sz w:val="20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sz w:val="20"/>
        </w:rPr>
        <w:t>www.ceve.ca</w:t>
      </w:r>
    </w:p>
    <w:p w:rsidR="00B10269" w:rsidRDefault="004B266A" w:rsidP="00B10269">
      <w:pPr>
        <w:spacing w:after="423" w:line="265" w:lineRule="auto"/>
        <w:ind w:right="148"/>
        <w:jc w:val="both"/>
        <w:rPr>
          <w:sz w:val="24"/>
        </w:rPr>
      </w:pPr>
      <w:r>
        <w:rPr>
          <w:sz w:val="24"/>
        </w:rPr>
        <w:t>Le 2 mars 2020</w:t>
      </w:r>
      <w:bookmarkStart w:id="0" w:name="_GoBack"/>
      <w:bookmarkEnd w:id="0"/>
    </w:p>
    <w:p w:rsidR="00372B99" w:rsidRDefault="005937F0" w:rsidP="00B10269">
      <w:pPr>
        <w:spacing w:after="423" w:line="265" w:lineRule="auto"/>
        <w:ind w:right="148"/>
        <w:jc w:val="both"/>
      </w:pPr>
      <w:r>
        <w:rPr>
          <w:sz w:val="24"/>
        </w:rPr>
        <w:t>Politique de renvoi de la garderie /camp</w:t>
      </w:r>
      <w:r w:rsidR="007A62C2">
        <w:rPr>
          <w:sz w:val="24"/>
        </w:rPr>
        <w:t xml:space="preserve"> d’été</w:t>
      </w:r>
    </w:p>
    <w:p w:rsidR="00372B99" w:rsidRDefault="005937F0">
      <w:pPr>
        <w:spacing w:after="217" w:line="216" w:lineRule="auto"/>
        <w:ind w:left="14" w:right="43" w:firstLine="4"/>
      </w:pPr>
      <w:r>
        <w:rPr>
          <w:sz w:val="24"/>
        </w:rPr>
        <w:t>Il peut arriver qu'en des circonstances exceptionnelles un enfant ne puisse pas rester à la garderie et son renvoi représente une mesure de dernier recours. Une liste de raisons possibles est mentionnée ci-après dans le but de clarifier les limites des services offerts par la garderie.</w:t>
      </w:r>
    </w:p>
    <w:p w:rsidR="00372B99" w:rsidRDefault="005937F0">
      <w:pPr>
        <w:spacing w:after="3" w:line="265" w:lineRule="auto"/>
        <w:ind w:left="38" w:right="148" w:hanging="5"/>
        <w:jc w:val="both"/>
      </w:pPr>
      <w:r>
        <w:rPr>
          <w:sz w:val="24"/>
        </w:rPr>
        <w:t xml:space="preserve">Le renvoi peut être possible </w:t>
      </w:r>
      <w:proofErr w:type="gramStart"/>
      <w:r>
        <w:rPr>
          <w:sz w:val="24"/>
        </w:rPr>
        <w:t>si .</w:t>
      </w:r>
      <w:proofErr w:type="gramEnd"/>
    </w:p>
    <w:p w:rsidR="00372B99" w:rsidRDefault="005937F0">
      <w:pPr>
        <w:numPr>
          <w:ilvl w:val="0"/>
          <w:numId w:val="1"/>
        </w:numPr>
        <w:spacing w:after="3" w:line="265" w:lineRule="auto"/>
        <w:ind w:right="148" w:hanging="365"/>
        <w:jc w:val="both"/>
      </w:pPr>
      <w:r>
        <w:rPr>
          <w:sz w:val="24"/>
        </w:rPr>
        <w:t>L'enfant présente par son comportement des dangers pour le personnel éducateur</w:t>
      </w:r>
    </w:p>
    <w:p w:rsidR="00372B99" w:rsidRDefault="005937F0">
      <w:pPr>
        <w:numPr>
          <w:ilvl w:val="0"/>
          <w:numId w:val="1"/>
        </w:numPr>
        <w:spacing w:after="3" w:line="265" w:lineRule="auto"/>
        <w:ind w:right="148" w:hanging="365"/>
        <w:jc w:val="both"/>
      </w:pPr>
      <w:r>
        <w:rPr>
          <w:sz w:val="24"/>
        </w:rPr>
        <w:t>L'enfant présente un danger pour lui-même ou pour les autres et ce de façon continue</w:t>
      </w:r>
    </w:p>
    <w:p w:rsidR="00372B99" w:rsidRDefault="005937F0">
      <w:pPr>
        <w:numPr>
          <w:ilvl w:val="0"/>
          <w:numId w:val="1"/>
        </w:numPr>
        <w:spacing w:after="3" w:line="265" w:lineRule="auto"/>
        <w:ind w:right="148" w:hanging="365"/>
        <w:jc w:val="both"/>
      </w:pPr>
      <w:r>
        <w:rPr>
          <w:sz w:val="24"/>
        </w:rPr>
        <w:t>Un parent ne respecte pas ses obligations financières envers la garderie</w:t>
      </w:r>
    </w:p>
    <w:p w:rsidR="00372B99" w:rsidRDefault="005937F0">
      <w:pPr>
        <w:numPr>
          <w:ilvl w:val="0"/>
          <w:numId w:val="1"/>
        </w:numPr>
        <w:spacing w:after="3" w:line="265" w:lineRule="auto"/>
        <w:ind w:right="148" w:hanging="365"/>
        <w:jc w:val="both"/>
      </w:pPr>
      <w:r>
        <w:rPr>
          <w:sz w:val="24"/>
        </w:rPr>
        <w:t>Il y a non-respect des règles de régie interne de la garderie</w:t>
      </w:r>
    </w:p>
    <w:p w:rsidR="00372B99" w:rsidRDefault="005937F0">
      <w:pPr>
        <w:numPr>
          <w:ilvl w:val="0"/>
          <w:numId w:val="1"/>
        </w:numPr>
        <w:spacing w:after="92" w:line="265" w:lineRule="auto"/>
        <w:ind w:right="148" w:hanging="365"/>
        <w:jc w:val="both"/>
      </w:pPr>
      <w:r>
        <w:rPr>
          <w:sz w:val="24"/>
        </w:rPr>
        <w:t>Un parent utilise un comportement inadéquat (ex. violence) avec le personnel de la garderie et les autres utilisateurs du service</w:t>
      </w:r>
    </w:p>
    <w:p w:rsidR="00372B99" w:rsidRDefault="005937F0">
      <w:pPr>
        <w:spacing w:after="217" w:line="216" w:lineRule="auto"/>
        <w:ind w:left="14" w:right="43" w:firstLine="4"/>
      </w:pPr>
      <w:r>
        <w:rPr>
          <w:sz w:val="24"/>
        </w:rPr>
        <w:t>La garderie prévoit une gradation dans les mesures visant à adresser une situation problématique, en fonction de la nature de la problématique (ex., problème lié à l'enfant, problème lié à un parent). Par exemple, dans le cas d'une problématique liée à un enfant, l'observation et la prise de connaissance de la situation, une concertation avec les membres du personnel concernés, les parents s'il y a lieu et la direction visant à présenter la problématique et identifier les pistes de solutions, une recherche de ressources adéquates pour adresser le besoin, la mise en place d'un plan d'intervention et collaboration avec partenaires s'il y a lieu et révision du plan. Si toutefois la situation ne s'améliore pas pour des raisons hors de contrôle du personnel de la garderie</w:t>
      </w:r>
      <w:r w:rsidR="007A62C2">
        <w:rPr>
          <w:sz w:val="24"/>
        </w:rPr>
        <w:t>/camps d’été</w:t>
      </w:r>
      <w:r>
        <w:rPr>
          <w:sz w:val="24"/>
        </w:rPr>
        <w:t xml:space="preserve"> (ex., la non-collaboration des parents, un manque de ressources limitant la capacité de la garderie de répondre aux besoins de l'enfant, etc.) ou que la sécurité et le bien-être des enfants et ou du personnel de la garderie sont menacés, la garderie ne pourra pas continuer de recevoir l'enfant dans son établissement.</w:t>
      </w:r>
    </w:p>
    <w:p w:rsidR="00372B99" w:rsidRDefault="005937F0">
      <w:pPr>
        <w:spacing w:after="149" w:line="265" w:lineRule="auto"/>
        <w:ind w:left="38" w:right="148" w:hanging="5"/>
        <w:jc w:val="both"/>
      </w:pPr>
      <w:r>
        <w:rPr>
          <w:sz w:val="24"/>
        </w:rPr>
        <w:t>Dans le cas d'une problématique liée au parent (ex. manquement aux paiements, non-respect de la régie interne, etc.), la garderie communiquera la problématique aux parents. Une entente de paiement écrite peu</w:t>
      </w:r>
      <w:r w:rsidR="007A62C2">
        <w:rPr>
          <w:sz w:val="24"/>
        </w:rPr>
        <w:t xml:space="preserve">t être prise entre les parents </w:t>
      </w:r>
      <w:proofErr w:type="gramStart"/>
      <w:r w:rsidR="007A62C2">
        <w:rPr>
          <w:sz w:val="24"/>
        </w:rPr>
        <w:t xml:space="preserve">de </w:t>
      </w:r>
      <w:r>
        <w:rPr>
          <w:sz w:val="24"/>
        </w:rPr>
        <w:t xml:space="preserve"> la</w:t>
      </w:r>
      <w:proofErr w:type="gramEnd"/>
      <w:r>
        <w:rPr>
          <w:sz w:val="24"/>
        </w:rPr>
        <w:t xml:space="preserve"> garderie, </w:t>
      </w:r>
      <w:r w:rsidR="007A62C2">
        <w:rPr>
          <w:sz w:val="24"/>
        </w:rPr>
        <w:t xml:space="preserve">et le camps d’été </w:t>
      </w:r>
      <w:r>
        <w:rPr>
          <w:sz w:val="24"/>
        </w:rPr>
        <w:t>et si ceux-ci ne sont pas en mesure de la respecter, la garderie ne pourra continuer de recevoir l'enfant dans son établissement.</w:t>
      </w:r>
    </w:p>
    <w:p w:rsidR="00372B99" w:rsidRDefault="005937F0">
      <w:pPr>
        <w:spacing w:after="186" w:line="265" w:lineRule="auto"/>
        <w:ind w:left="38" w:right="148" w:hanging="5"/>
        <w:jc w:val="both"/>
      </w:pPr>
      <w:r>
        <w:rPr>
          <w:sz w:val="24"/>
        </w:rPr>
        <w:t>Certains cas extrêmes de manquement par les parents ne nécessiteront pas de procédures graduées afin d'aboutir à un renvoi, puisque jugés inacceptable selon les valeurs de la garderie ainsi que des manquements au respect jugés graves pas les personnes concernées (intimidation, insultes, etc.).</w:t>
      </w:r>
    </w:p>
    <w:p w:rsidR="00372B99" w:rsidRDefault="005937F0" w:rsidP="00B10269">
      <w:pPr>
        <w:spacing w:after="3" w:line="265" w:lineRule="auto"/>
        <w:ind w:left="33" w:right="148"/>
        <w:jc w:val="both"/>
        <w:rPr>
          <w:sz w:val="24"/>
        </w:rPr>
      </w:pPr>
      <w:r>
        <w:rPr>
          <w:sz w:val="24"/>
        </w:rPr>
        <w:lastRenderedPageBreak/>
        <w:t>Notons que les procédures et démarches menant à un renvoi de la garderie</w:t>
      </w:r>
      <w:r w:rsidR="00CE435C">
        <w:rPr>
          <w:sz w:val="24"/>
        </w:rPr>
        <w:t xml:space="preserve"> et le camps d’été,</w:t>
      </w:r>
      <w:r>
        <w:rPr>
          <w:sz w:val="24"/>
        </w:rPr>
        <w:t xml:space="preserve"> seront personnalisées à chaque cas rencontré. Dans tous les cas de situation problématique, les parties prenantes seront informées tout au long du processus. Ainsi, si l'issue d'une problématique mène à une expulsion, la </w:t>
      </w:r>
      <w:r>
        <w:rPr>
          <w:noProof/>
        </w:rPr>
        <w:drawing>
          <wp:inline distT="0" distB="0" distL="0" distR="0">
            <wp:extent cx="42689" cy="73174"/>
            <wp:effectExtent l="0" t="0" r="0" b="0"/>
            <wp:docPr id="7837" name="Picture 7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7" name="Picture 783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89" cy="7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garderie avisera par écrit les parents de la décision et laissera un préavis de deux semaines à ceux-ci </w:t>
      </w:r>
      <w:r w:rsidR="00CE435C">
        <w:rPr>
          <w:sz w:val="24"/>
        </w:rPr>
        <w:t>pour trouver une autre garderie ou un autre camp d’été.</w:t>
      </w:r>
    </w:p>
    <w:p w:rsidR="00B10269" w:rsidRDefault="00B10269" w:rsidP="00B10269">
      <w:pPr>
        <w:spacing w:after="3" w:line="265" w:lineRule="auto"/>
        <w:ind w:left="33" w:right="148"/>
        <w:jc w:val="both"/>
        <w:rPr>
          <w:sz w:val="24"/>
        </w:rPr>
      </w:pPr>
    </w:p>
    <w:p w:rsidR="00B10269" w:rsidRDefault="00B10269" w:rsidP="00B10269">
      <w:pPr>
        <w:spacing w:after="3" w:line="265" w:lineRule="auto"/>
        <w:ind w:left="33" w:right="148"/>
        <w:jc w:val="both"/>
        <w:rPr>
          <w:sz w:val="24"/>
        </w:rPr>
      </w:pPr>
    </w:p>
    <w:p w:rsidR="00B10269" w:rsidRDefault="00B10269" w:rsidP="00B10269">
      <w:pPr>
        <w:spacing w:after="3" w:line="265" w:lineRule="auto"/>
        <w:ind w:left="33" w:right="148"/>
        <w:jc w:val="both"/>
        <w:rPr>
          <w:sz w:val="24"/>
        </w:rPr>
      </w:pPr>
    </w:p>
    <w:p w:rsidR="00B10269" w:rsidRDefault="00B10269" w:rsidP="00B10269">
      <w:pPr>
        <w:spacing w:after="3" w:line="265" w:lineRule="auto"/>
        <w:ind w:left="33" w:right="148"/>
        <w:jc w:val="both"/>
        <w:rPr>
          <w:sz w:val="24"/>
        </w:rPr>
      </w:pPr>
    </w:p>
    <w:p w:rsidR="00B10269" w:rsidRDefault="00B10269" w:rsidP="00B10269">
      <w:pPr>
        <w:spacing w:after="3" w:line="265" w:lineRule="auto"/>
        <w:ind w:left="33" w:right="148"/>
        <w:jc w:val="both"/>
      </w:pPr>
      <w:r>
        <w:rPr>
          <w:sz w:val="24"/>
        </w:rPr>
        <w:t>Signature : ____________________________________________date :</w:t>
      </w:r>
      <w:r w:rsidR="00217832">
        <w:rPr>
          <w:sz w:val="24"/>
        </w:rPr>
        <w:t xml:space="preserve"> </w:t>
      </w:r>
      <w:r>
        <w:rPr>
          <w:sz w:val="24"/>
        </w:rPr>
        <w:t>______________</w:t>
      </w:r>
    </w:p>
    <w:sectPr w:rsidR="00B10269">
      <w:pgSz w:w="12250" w:h="15936"/>
      <w:pgMar w:top="1440" w:right="874" w:bottom="1440" w:left="11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332A1"/>
    <w:multiLevelType w:val="hybridMultilevel"/>
    <w:tmpl w:val="0FEEA27C"/>
    <w:lvl w:ilvl="0" w:tplc="064008B0">
      <w:start w:val="1"/>
      <w:numFmt w:val="bullet"/>
      <w:lvlText w:val="•"/>
      <w:lvlJc w:val="left"/>
      <w:pPr>
        <w:ind w:left="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702932">
      <w:start w:val="1"/>
      <w:numFmt w:val="bullet"/>
      <w:lvlText w:val="o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4AF716">
      <w:start w:val="1"/>
      <w:numFmt w:val="bullet"/>
      <w:lvlText w:val="▪"/>
      <w:lvlJc w:val="left"/>
      <w:pPr>
        <w:ind w:left="2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CE845A">
      <w:start w:val="1"/>
      <w:numFmt w:val="bullet"/>
      <w:lvlText w:val="•"/>
      <w:lvlJc w:val="left"/>
      <w:pPr>
        <w:ind w:left="3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6C6342">
      <w:start w:val="1"/>
      <w:numFmt w:val="bullet"/>
      <w:lvlText w:val="o"/>
      <w:lvlJc w:val="left"/>
      <w:pPr>
        <w:ind w:left="3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184B68">
      <w:start w:val="1"/>
      <w:numFmt w:val="bullet"/>
      <w:lvlText w:val="▪"/>
      <w:lvlJc w:val="left"/>
      <w:pPr>
        <w:ind w:left="4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3A663A">
      <w:start w:val="1"/>
      <w:numFmt w:val="bullet"/>
      <w:lvlText w:val="•"/>
      <w:lvlJc w:val="left"/>
      <w:pPr>
        <w:ind w:left="5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365E5E">
      <w:start w:val="1"/>
      <w:numFmt w:val="bullet"/>
      <w:lvlText w:val="o"/>
      <w:lvlJc w:val="left"/>
      <w:pPr>
        <w:ind w:left="6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469E2A">
      <w:start w:val="1"/>
      <w:numFmt w:val="bullet"/>
      <w:lvlText w:val="▪"/>
      <w:lvlJc w:val="left"/>
      <w:pPr>
        <w:ind w:left="6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99"/>
    <w:rsid w:val="00044B58"/>
    <w:rsid w:val="00082B45"/>
    <w:rsid w:val="00217832"/>
    <w:rsid w:val="00372B99"/>
    <w:rsid w:val="004B266A"/>
    <w:rsid w:val="005937F0"/>
    <w:rsid w:val="005E744C"/>
    <w:rsid w:val="005F13F6"/>
    <w:rsid w:val="00703CD6"/>
    <w:rsid w:val="007A62C2"/>
    <w:rsid w:val="00A211D2"/>
    <w:rsid w:val="00B10269"/>
    <w:rsid w:val="00B801BC"/>
    <w:rsid w:val="00CE435C"/>
    <w:rsid w:val="00F4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C793"/>
  <w15:docId w15:val="{F7A17C05-E3DC-45D7-9A65-3010D92E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1026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6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2C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CSDCCS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villagedelisabeth</dc:creator>
  <cp:keywords/>
  <cp:lastModifiedBy>villagedelisabeth</cp:lastModifiedBy>
  <cp:revision>2</cp:revision>
  <cp:lastPrinted>2018-06-13T15:55:00Z</cp:lastPrinted>
  <dcterms:created xsi:type="dcterms:W3CDTF">2020-03-02T20:42:00Z</dcterms:created>
  <dcterms:modified xsi:type="dcterms:W3CDTF">2020-03-02T20:42:00Z</dcterms:modified>
</cp:coreProperties>
</file>